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ind w:firstLine="904" w:firstLineChars="300"/>
        <w:jc w:val="left"/>
        <w:rPr>
          <w:rFonts w:ascii="Times New Roman" w:hAnsi="Times New Roman" w:eastAsia="宋体" w:cs="Times New Roman"/>
          <w:b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kern w:val="0"/>
          <w:sz w:val="30"/>
          <w:szCs w:val="30"/>
        </w:rPr>
        <w:t>铜陵学院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2021年春夏季病媒生物防控项目</w:t>
      </w:r>
      <w:r>
        <w:rPr>
          <w:rFonts w:hint="eastAsia" w:ascii="Times New Roman" w:hAnsi="Times New Roman" w:eastAsia="宋体" w:cs="Times New Roman"/>
          <w:b/>
          <w:kern w:val="0"/>
          <w:sz w:val="30"/>
          <w:szCs w:val="30"/>
        </w:rPr>
        <w:t>报价表</w:t>
      </w:r>
    </w:p>
    <w:tbl>
      <w:tblPr>
        <w:tblStyle w:val="2"/>
        <w:tblW w:w="10080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86"/>
        <w:gridCol w:w="2070"/>
        <w:gridCol w:w="855"/>
        <w:gridCol w:w="563"/>
        <w:gridCol w:w="429"/>
        <w:gridCol w:w="226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项目名称</w:t>
            </w:r>
          </w:p>
        </w:tc>
        <w:tc>
          <w:tcPr>
            <w:tcW w:w="8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铜陵学院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2021年春夏季病媒生物防控项目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报价单位</w:t>
            </w:r>
          </w:p>
        </w:tc>
        <w:tc>
          <w:tcPr>
            <w:tcW w:w="8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left="2397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报价一览表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440" w:firstLineChars="6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目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综合单价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（元）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外环境固定式毒饵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站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在指定地点按照规范安装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80个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0.005﹪溴敌隆稻谷型鼠药100g/袋（根据实际情况定期、定点、定量投放）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700袋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强力粘鼠板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（带饵）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200张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0.05%氟虫</w:t>
            </w:r>
            <w:r>
              <w:rPr>
                <w:rFonts w:ascii="Arial" w:hAnsi="Arial" w:eastAsia="宋体" w:cs="Arial"/>
                <w:color w:val="333333"/>
                <w:kern w:val="0"/>
                <w:sz w:val="24"/>
                <w:shd w:val="clear" w:color="auto" w:fill="FFFFFF"/>
              </w:rPr>
              <w:t>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灭蟑胶饵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12粒/盒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100盒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2.5%吡虫啉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灭蟑饵剂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10g/袋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800袋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粘蝇板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300张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诱蝇笼（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指定地点按规范悬挂并定期加药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100个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5﹪高效氟氯氰菊酯500g/瓶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50瓶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器械费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1项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人工费（不少于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50人次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1项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其它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1项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合计（人民币大写）：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（￥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报价说明</w:t>
            </w:r>
          </w:p>
        </w:tc>
        <w:tc>
          <w:tcPr>
            <w:tcW w:w="8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left"/>
              <w:rPr>
                <w:rFonts w:ascii="新宋体" w:hAnsi="新宋体" w:eastAsia="新宋体" w:cs="Times New Roman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报价为所投项目的最终报价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报价单位（公章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</w:rPr>
        <w:t>）</w:t>
      </w:r>
    </w:p>
    <w:p>
      <w:pPr>
        <w:spacing w:before="100" w:beforeAutospacing="1" w:after="100" w:afterAutospacing="1" w:line="600" w:lineRule="auto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时间：</w:t>
      </w:r>
      <w:bookmarkStart w:id="0" w:name="_GoBack"/>
      <w:bookmarkEnd w:id="0"/>
    </w:p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F7DC7"/>
    <w:rsid w:val="277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2021-05-06T08:50:00Z</dcterms:created>
  <dc:creator>tlxy016</dc:creator>
  <cp:lastModifiedBy>tlxy016</cp:lastModifiedBy>
  <dcterms:modified xsi:type="dcterms:W3CDTF">2021-05-06T08:50:57Z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D6E3C7B721F744C0AAD61D8F17AE608E</vt:lpwstr>
  </property>
</Properties>
</file>