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  <w:t>2024年参加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 w:bidi="ar"/>
        </w:rPr>
        <w:t>城乡居民基本医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 w:bidi="ar"/>
        </w:rPr>
        <w:t>疗保险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  <w:t>情况简要说明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1.2024年居民医保财政补助640元，个人缴费380元。2024年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实行学生线上自主交费。参保凭证可线上查看并下载。开学时在学校学生缴费平台交过医保费的，财务处将会统一退费到学生个人银行卡账户。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2.要求学生人人参保，户籍地</w:t>
      </w:r>
      <w:r>
        <w:rPr>
          <w:rFonts w:hint="eastAsia" w:ascii="仿宋_GB2312" w:hAnsi="仿宋_GB2312" w:eastAsia="仿宋_GB2312" w:cs="仿宋_GB2312"/>
          <w:sz w:val="28"/>
          <w:szCs w:val="28"/>
        </w:rPr>
        <w:t>享受救助待遇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的学生可在户籍地参保。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3.学校参保和户籍地参保的区别：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相同点：同一种险种。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0070C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不同点:学校参保有门诊意外伤害报销；2024年开始可以在长期居住地享受参保地就医报销的标准。</w:t>
      </w:r>
    </w:p>
    <w:p>
      <w:pPr>
        <w:widowControl/>
        <w:numPr>
          <w:ilvl w:val="0"/>
          <w:numId w:val="1"/>
        </w:numPr>
        <w:spacing w:line="480" w:lineRule="auto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通过微信小程序“</w:t>
      </w:r>
      <w:r>
        <w:rPr>
          <w:rFonts w:hint="eastAsia" w:ascii="仿宋_GB2312" w:hAnsi="仿宋_GB2312" w:eastAsia="仿宋_GB2312" w:cs="仿宋_GB2312"/>
          <w:color w:val="0070C0"/>
          <w:sz w:val="28"/>
          <w:szCs w:val="28"/>
          <w:lang w:val="en-US" w:eastAsia="zh-CN"/>
        </w:rPr>
        <w:t>安徽医保公共服务”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线上参保。</w:t>
      </w:r>
    </w:p>
    <w:p>
      <w:pPr>
        <w:widowControl/>
        <w:numPr>
          <w:ilvl w:val="0"/>
          <w:numId w:val="0"/>
        </w:numPr>
        <w:spacing w:line="480" w:lineRule="auto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新生和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2023年未在学校参保的大学生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先登记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输入学校名称，后缴费。</w:t>
      </w:r>
    </w:p>
    <w:p>
      <w:pPr>
        <w:widowControl/>
        <w:numPr>
          <w:ilvl w:val="0"/>
          <w:numId w:val="0"/>
        </w:numPr>
        <w:spacing w:line="480" w:lineRule="auto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过去连续在校参保的老生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无需登记，可以直接缴费。税务缴费适用绝大数学生，微信支付绑定银行卡进行支付，不可使用微信余额支付。门诊共济缴费仅适用于父母为铜陵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职工的铜陵本地学生，可用职工医保卡余额支付。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居民医保报销相关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</w:rPr>
        <w:t>待遇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</w:rPr>
        <w:t>表1：门诊报销政策</w:t>
      </w:r>
    </w:p>
    <w:tbl>
      <w:tblPr>
        <w:tblStyle w:val="4"/>
        <w:tblW w:w="10346" w:type="dxa"/>
        <w:tblInd w:w="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901"/>
        <w:gridCol w:w="67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普通门诊</w:t>
            </w:r>
          </w:p>
        </w:tc>
        <w:tc>
          <w:tcPr>
            <w:tcW w:w="8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仅限于在参保地的一级及以下医疗机构发生的普通门诊医药费用，报销比例为55%，不设起付线，单次最高报销限额25元，年度最高报销限额为150元。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门诊意外伤害</w:t>
            </w:r>
          </w:p>
        </w:tc>
        <w:tc>
          <w:tcPr>
            <w:tcW w:w="8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无第三方责任的意外伤害产生的门诊费用，起付线50元（起付线可累计，年度内只算1次起付线），超过50元的可报部分按照80%报销，每人每年累计8000元封顶。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注意：</w:t>
            </w:r>
            <w:r>
              <w:rPr>
                <w:rStyle w:val="7"/>
                <w:sz w:val="20"/>
                <w:szCs w:val="20"/>
                <w:lang w:val="en-US" w:eastAsia="zh-CN" w:bidi="ar"/>
              </w:rPr>
              <w:t>狂犬疫苗</w:t>
            </w:r>
            <w:r>
              <w:rPr>
                <w:rStyle w:val="6"/>
                <w:sz w:val="20"/>
                <w:szCs w:val="20"/>
                <w:lang w:val="en-US" w:eastAsia="zh-CN" w:bidi="ar"/>
              </w:rPr>
              <w:t>不可报</w:t>
            </w:r>
            <w:r>
              <w:rPr>
                <w:rStyle w:val="8"/>
                <w:sz w:val="20"/>
                <w:szCs w:val="20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门诊慢特病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常见慢性病待遇</w:t>
            </w:r>
          </w:p>
        </w:tc>
        <w:tc>
          <w:tcPr>
            <w:tcW w:w="6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起付线，在医保定点医疗机构发生的慢性病病种相关的门诊医药费用按60%比例支付。每种疾病每年的最高限额不同，如糖尿病一年最高限额2000元，恶性肿瘤一年3500元。患有两个及以上慢性病种的，年度报销限额以最高者计算，每增加一个病种增加500元，最高增加1000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特殊慢性病待遇</w:t>
            </w:r>
          </w:p>
        </w:tc>
        <w:tc>
          <w:tcPr>
            <w:tcW w:w="6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按当次就诊的医疗机构的普通住院政策报销，年度内按就诊最高类别医疗机构计算1次起付线。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</w:rPr>
        <w:t>表2：住院报销政策</w:t>
      </w:r>
    </w:p>
    <w:tbl>
      <w:tblPr>
        <w:tblStyle w:val="4"/>
        <w:tblW w:w="96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953"/>
        <w:gridCol w:w="816"/>
        <w:gridCol w:w="555"/>
        <w:gridCol w:w="816"/>
        <w:gridCol w:w="570"/>
        <w:gridCol w:w="659"/>
        <w:gridCol w:w="1409"/>
        <w:gridCol w:w="606"/>
        <w:gridCol w:w="10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报销类型</w:t>
            </w: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医院等级及其他</w:t>
            </w:r>
          </w:p>
        </w:tc>
        <w:tc>
          <w:tcPr>
            <w:tcW w:w="34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省内</w:t>
            </w:r>
          </w:p>
        </w:tc>
        <w:tc>
          <w:tcPr>
            <w:tcW w:w="309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市内</w:t>
            </w:r>
          </w:p>
        </w:tc>
        <w:tc>
          <w:tcPr>
            <w:tcW w:w="2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市外</w:t>
            </w:r>
          </w:p>
        </w:tc>
        <w:tc>
          <w:tcPr>
            <w:tcW w:w="309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起付线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报销比例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起付线</w:t>
            </w: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报销比例</w:t>
            </w:r>
          </w:p>
        </w:tc>
        <w:tc>
          <w:tcPr>
            <w:tcW w:w="1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起付线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保销比例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转诊备案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无转诊备案或临时外出就医</w:t>
            </w:r>
          </w:p>
        </w:tc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转诊备案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无转诊备案或临时外出就医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普通住院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90%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85%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75%</w:t>
            </w:r>
          </w:p>
        </w:tc>
        <w:tc>
          <w:tcPr>
            <w:tcW w:w="1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按当次住院总费用20%计算（不足2000元的按2000元计算，最高不超过10000元）</w:t>
            </w:r>
          </w:p>
        </w:tc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60%</w:t>
            </w: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一级及以下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85%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80%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70%</w:t>
            </w:r>
          </w:p>
        </w:tc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市域内县级医院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80%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75%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65%</w:t>
            </w:r>
          </w:p>
        </w:tc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75%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70%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60%</w:t>
            </w:r>
          </w:p>
        </w:tc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三级（市属）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70%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65%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55%</w:t>
            </w:r>
          </w:p>
        </w:tc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三级（省属）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BB5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65%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60%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50%</w:t>
            </w:r>
          </w:p>
        </w:tc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保底报销</w:t>
            </w:r>
          </w:p>
        </w:tc>
        <w:tc>
          <w:tcPr>
            <w:tcW w:w="34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45%（转诊备案）35%（无转诊备案）</w:t>
            </w:r>
          </w:p>
        </w:tc>
        <w:tc>
          <w:tcPr>
            <w:tcW w:w="3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40%（转诊备案）30%（无转诊备案）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分娩住院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正常分娩定额补助</w:t>
            </w:r>
          </w:p>
        </w:tc>
        <w:tc>
          <w:tcPr>
            <w:tcW w:w="65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剖宫产定额补助</w:t>
            </w:r>
          </w:p>
        </w:tc>
        <w:tc>
          <w:tcPr>
            <w:tcW w:w="65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1200元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/>
        </w:rPr>
        <w:t>表3：异地就医报销政策</w:t>
      </w:r>
    </w:p>
    <w:tbl>
      <w:tblPr>
        <w:tblStyle w:val="4"/>
        <w:tblW w:w="102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1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异地长期居住地就医</w:t>
            </w:r>
          </w:p>
        </w:tc>
        <w:tc>
          <w:tcPr>
            <w:tcW w:w="9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限于在校参保的学生，需“安徽医保公共服务”上备案，一般选择户籍地，更换城市需要前次备案满6个月以上。                                                                         可参保的同时就在线上备案，也可以在需要就医前、出院前备案，审核时间1-2工作日。                              如果未备案，就医结束后无法补办，只能按临时外出就医报销政策。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异地长期居住地为安徽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  <w:t>省内的</w:t>
            </w:r>
            <w:r>
              <w:rPr>
                <w:rStyle w:val="9"/>
                <w:lang w:val="en-US" w:eastAsia="zh-CN" w:bidi="ar"/>
              </w:rPr>
              <w:t>，可享有参保地的相同的门诊及住院报销政策和比例。                                 异地长期居住地为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18"/>
                <w:szCs w:val="18"/>
                <w:u w:val="none"/>
                <w:lang w:val="en-US" w:eastAsia="zh-CN" w:bidi="ar"/>
              </w:rPr>
              <w:t>省外的</w:t>
            </w:r>
            <w:r>
              <w:rPr>
                <w:rStyle w:val="9"/>
                <w:lang w:val="en-US" w:eastAsia="zh-CN" w:bidi="ar"/>
              </w:rPr>
              <w:t>，享有参保地的相同的门诊意外伤害、门诊慢特病及住院报销政策和比例，无一级及以下医疗机构发生的普通门诊</w:t>
            </w:r>
            <w:r>
              <w:rPr>
                <w:rStyle w:val="9"/>
                <w:rFonts w:hint="eastAsia"/>
                <w:lang w:val="en-US" w:eastAsia="zh-CN" w:bidi="ar"/>
              </w:rPr>
              <w:t>最高限额150元的</w:t>
            </w:r>
            <w:r>
              <w:rPr>
                <w:rStyle w:val="9"/>
                <w:lang w:val="en-US" w:eastAsia="zh-CN" w:bidi="ar"/>
              </w:rPr>
              <w:t>医药费用报销。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就医当时同步报销。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异地转诊就医</w:t>
            </w:r>
          </w:p>
        </w:tc>
        <w:tc>
          <w:tcPr>
            <w:tcW w:w="9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在我市最高级别医疗机构(含专科)难以确诊或无有效治疗手段的疾病。                                             铜陵市人民医院接诊医生开具“转诊单”并在转诊管理中心（铜陵市人民医院）办理转诊备案。                       未办理转诊备案的住院报销只能按临时外出就医报销政策。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住院报销政策见表格2“住院报销比例”的转诊备案部分（蓝色）。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异地联网定点医疗机构可出院时同步结算报销，因故未能直接结算报销的，可带回相关材料去医保窗口手工报销。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其他临时外出就医</w:t>
            </w:r>
          </w:p>
        </w:tc>
        <w:tc>
          <w:tcPr>
            <w:tcW w:w="9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不是异地长期居住地，也不符合转诊条件的外出就医。                                                           可在“安徽医保公共服务”上备案，也可以打医保部门电话0562-5889780备案。                                     未备案不能出院同步结算报销，需带回相关回铜陵市医保窗口手工报销。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门诊意外伤害和门诊慢特病可带回报销。住院报销政策见表格2“住院报销比例”的临时外出就医部分（橙色）。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异地联网定点医疗机构可出院时同步结算报销，因故未能直接结算报销的，可带回相关材料去医保窗口手工报销。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6.手工报销所需相关材料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门诊意外伤害报销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门诊（急诊）病历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rightChars="0"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门诊发票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rightChars="0"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外伤证明（请到新区卫生所213室开具）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rightChars="0" w:firstLine="56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社保卡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（或者带身份证和银行卡）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105" w:rightChars="5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 w:bidi="ar"/>
        </w:rPr>
        <w:t>住院报销：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105" w:rightChars="50" w:firstLine="28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  <w:t>1）出院小结（医院公章）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330" w:leftChars="0" w:right="105" w:rightChars="50" w:firstLine="196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  <w:t>费用明细清单（医院公章）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330" w:leftChars="0" w:right="105" w:rightChars="50" w:firstLine="196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  <w:t>出院发票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330" w:leftChars="0" w:right="105" w:rightChars="50" w:firstLine="196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  <w:t>医保卡（或者带身份证、本人户名的银行卡）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105" w:rightChars="5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 w:bidi="ar"/>
        </w:rPr>
        <w:t>慢特病门诊费用报销：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105" w:rightChars="50" w:firstLine="28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  <w:t>（1）门诊病历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2730" w:leftChars="0" w:right="105" w:rightChars="50" w:firstLine="336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  <w:t>门诊发票（笼统只写西药费的发票需要提供费用明细）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2730" w:leftChars="0" w:right="105" w:rightChars="50" w:firstLine="336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  <w:t>费用明细清单（医院公章）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2730" w:leftChars="0" w:right="105" w:rightChars="50" w:firstLine="336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  <w:t>医保卡（或者带身份证、本人户名的银行卡）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2730" w:leftChars="0" w:right="105" w:rightChars="50" w:firstLine="336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  <w:t>如果使用了特殊限制性的药品，需要相关支撑材料。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/>
        </w:rPr>
        <w:t>报销地址：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铜陵市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政务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服务中心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医保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 w:bidi="ar"/>
        </w:rPr>
        <w:t xml:space="preserve">窗口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  <w:t>翠湖校区南大门乘坐23路公交车，育秀校区乘坐16路公交车可到达。</w:t>
      </w:r>
    </w:p>
    <w:p>
      <w:pPr>
        <w:pStyle w:val="3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辅导员请了解基本医疗保险报销政策，便于指导学生。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8.医保卡办理：需本人携带身份证到我市参与社保卡发行的工行、建行、中行、农行、邮储、徽行、农商行、皖江行、交行、光大等10 家银行的营业网点申领，随时办随时领卡。现在医院内报销可用电子医保卡，医保窗口手工报销可用身份证和本人姓名的银行卡代替医保卡。</w:t>
      </w: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9.毕业生毕业后参加工作购买职工医保、需要停城乡居民医保，今年省内工程师测试了手机线上停保，暂时未上线该功能，2023年仍需要带身份证到医保窗口停保或者写授权书让别人代办。预计会在2024年或者更迟的时间会上线手机线上停保。</w:t>
      </w:r>
    </w:p>
    <w:p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rightChars="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 w:bidi="ar"/>
        </w:rPr>
        <w:t>咨询电话：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  <w:t>铜陵市医保局参保缴费电话：0562-5881655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ind w:firstLine="1400" w:firstLineChars="5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  <w:t>铜陵市医保局报销窗口电话：0562-5889749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  <w:t xml:space="preserve">          铜陵市医保局异地就医电话：0562-5889780/5889781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ind w:firstLine="1400" w:firstLineChars="5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  <w:t>铜陵学院校卫生所：0562-5882171,15305623270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jc w:val="left"/>
        <w:textAlignment w:val="auto"/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 w:bidi="ar"/>
        </w:rPr>
        <w:t xml:space="preserve">       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F9AD12"/>
    <w:multiLevelType w:val="singleLevel"/>
    <w:tmpl w:val="95F9AD12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59F4D5A"/>
    <w:multiLevelType w:val="singleLevel"/>
    <w:tmpl w:val="B59F4D5A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EFE702E"/>
    <w:multiLevelType w:val="singleLevel"/>
    <w:tmpl w:val="BEFE702E"/>
    <w:lvl w:ilvl="0" w:tentative="0">
      <w:start w:val="2"/>
      <w:numFmt w:val="decimal"/>
      <w:suff w:val="nothing"/>
      <w:lvlText w:val="（%1）"/>
      <w:lvlJc w:val="left"/>
      <w:pPr>
        <w:ind w:left="-1330"/>
      </w:pPr>
    </w:lvl>
  </w:abstractNum>
  <w:abstractNum w:abstractNumId="3">
    <w:nsid w:val="FB88ADDB"/>
    <w:multiLevelType w:val="singleLevel"/>
    <w:tmpl w:val="FB88ADDB"/>
    <w:lvl w:ilvl="0" w:tentative="0">
      <w:start w:val="2"/>
      <w:numFmt w:val="decimal"/>
      <w:suff w:val="nothing"/>
      <w:lvlText w:val="（%1）"/>
      <w:lvlJc w:val="left"/>
      <w:pPr>
        <w:ind w:left="-273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xODcyNDk1NWZiOWQ2MmY4MTA4ZjdlODZiMTk0NDgifQ=="/>
  </w:docVars>
  <w:rsids>
    <w:rsidRoot w:val="00000000"/>
    <w:rsid w:val="095336F0"/>
    <w:rsid w:val="09B60E42"/>
    <w:rsid w:val="0DDE2715"/>
    <w:rsid w:val="142F4DF3"/>
    <w:rsid w:val="157707EC"/>
    <w:rsid w:val="2CDD02A8"/>
    <w:rsid w:val="350B41EA"/>
    <w:rsid w:val="364F5F53"/>
    <w:rsid w:val="398F5E26"/>
    <w:rsid w:val="433401A7"/>
    <w:rsid w:val="44592C6A"/>
    <w:rsid w:val="4A1C5E3B"/>
    <w:rsid w:val="607C03BD"/>
    <w:rsid w:val="64601415"/>
    <w:rsid w:val="77146C42"/>
    <w:rsid w:val="7CE2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nhideWhenUsed/>
    <w:qFormat/>
    <w:uiPriority w:val="99"/>
    <w:pPr>
      <w:spacing w:after="120" w:line="480" w:lineRule="auto"/>
      <w:ind w:left="420" w:leftChars="200"/>
    </w:pPr>
    <w:rPr>
      <w:rFonts w:ascii="Calibri" w:hAnsi="Calibri" w:eastAsia="宋体" w:cs="Times New Roman"/>
      <w:sz w:val="21"/>
      <w:szCs w:val="2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41"/>
    <w:basedOn w:val="5"/>
    <w:uiPriority w:val="0"/>
    <w:rPr>
      <w:rFonts w:hint="eastAsia" w:ascii="宋体" w:hAnsi="宋体" w:eastAsia="宋体" w:cs="宋体"/>
      <w:color w:val="538DD5"/>
      <w:sz w:val="22"/>
      <w:szCs w:val="22"/>
      <w:u w:val="none"/>
    </w:rPr>
  </w:style>
  <w:style w:type="character" w:customStyle="1" w:styleId="7">
    <w:name w:val="font51"/>
    <w:basedOn w:val="5"/>
    <w:uiPriority w:val="0"/>
    <w:rPr>
      <w:rFonts w:hint="eastAsia" w:ascii="宋体" w:hAnsi="宋体" w:eastAsia="宋体" w:cs="宋体"/>
      <w:color w:val="0070C0"/>
      <w:sz w:val="22"/>
      <w:szCs w:val="22"/>
      <w:u w:val="none"/>
    </w:rPr>
  </w:style>
  <w:style w:type="character" w:customStyle="1" w:styleId="8">
    <w:name w:val="font0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2023-09-13T02:41:00Z</dcterms:created>
  <dc:creator>TLXY07</dc:creator>
  <cp:lastModifiedBy>秋天的童话</cp:lastModifiedBy>
  <dcterms:modified xsi:type="dcterms:W3CDTF">2023-09-14T08:10:24Z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DFD59153A2CC40808641F21885A75FDD_12</vt:lpwstr>
  </property>
</Properties>
</file>